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08" w:rsidRDefault="004C0A08" w:rsidP="00C067E6">
      <w:pPr>
        <w:jc w:val="both"/>
        <w:rPr>
          <w:rFonts w:ascii="Sylfaen" w:hAnsi="Sylfaen" w:cstheme="minorHAnsi"/>
          <w:b/>
          <w:sz w:val="24"/>
          <w:szCs w:val="24"/>
          <w:lang w:val="ka-GE"/>
        </w:rPr>
      </w:pPr>
      <w:r>
        <w:rPr>
          <w:rFonts w:ascii="Sylfaen" w:hAnsi="Sylfaen" w:cstheme="minorHAnsi"/>
          <w:b/>
          <w:sz w:val="24"/>
          <w:szCs w:val="24"/>
          <w:lang w:val="ka-GE"/>
        </w:rPr>
        <w:t>ევროკავშირსა და საქართველოს მთავრობას შორის გაფორმებული მემორანდუმი საქართველოს მაკრო-ფინანსური დახმარების (45 მლნ. ევრო) შესახებ</w:t>
      </w:r>
    </w:p>
    <w:p w:rsidR="004C0A08" w:rsidRDefault="004C0A08" w:rsidP="004C0A08">
      <w:pPr>
        <w:jc w:val="both"/>
        <w:rPr>
          <w:rFonts w:ascii="Sylfaen" w:hAnsi="Sylfaen" w:cstheme="minorHAnsi"/>
          <w:sz w:val="24"/>
          <w:szCs w:val="24"/>
          <w:lang w:val="ka-GE"/>
        </w:rPr>
      </w:pPr>
      <w:r w:rsidRPr="004C0A08">
        <w:rPr>
          <w:rFonts w:ascii="Sylfaen" w:hAnsi="Sylfaen" w:cstheme="minorHAnsi"/>
          <w:sz w:val="24"/>
          <w:szCs w:val="24"/>
          <w:lang w:val="ka-GE"/>
        </w:rPr>
        <w:t xml:space="preserve">მე-6 პარაგრაფი: საყოველთაო ჯანდაცვის სერვისების მდგრადობის უზრუნველყოფის მიზნით, სოციალური </w:t>
      </w:r>
      <w:r>
        <w:rPr>
          <w:rFonts w:ascii="Sylfaen" w:hAnsi="Sylfaen" w:cstheme="minorHAnsi"/>
          <w:sz w:val="24"/>
          <w:szCs w:val="24"/>
          <w:lang w:val="ka-GE"/>
        </w:rPr>
        <w:t xml:space="preserve">მომსახურების სააგენტო გააგრძელებს სელექტიური კონტრაქტების დანერგვის გაფართოვებას უფრო </w:t>
      </w:r>
      <w:r w:rsidR="00525921">
        <w:rPr>
          <w:rFonts w:ascii="Sylfaen" w:hAnsi="Sylfaen" w:cstheme="minorHAnsi"/>
          <w:sz w:val="24"/>
          <w:szCs w:val="24"/>
          <w:lang w:val="ka-GE"/>
        </w:rPr>
        <w:t>მაღ</w:t>
      </w:r>
      <w:r>
        <w:rPr>
          <w:rFonts w:ascii="Sylfaen" w:hAnsi="Sylfaen" w:cstheme="minorHAnsi"/>
          <w:sz w:val="24"/>
          <w:szCs w:val="24"/>
          <w:lang w:val="ka-GE"/>
        </w:rPr>
        <w:t xml:space="preserve">ალფასიანი სერვისებისთვის, რომელიც ამჟამად ფარავს მშობიარობისა და საკეისრო კვეთის სერვისებს.  </w:t>
      </w:r>
    </w:p>
    <w:p w:rsidR="004C0A08" w:rsidRPr="00CA68C2" w:rsidRDefault="004C0A08" w:rsidP="004C0A08">
      <w:pPr>
        <w:pStyle w:val="ListParagraph"/>
        <w:numPr>
          <w:ilvl w:val="0"/>
          <w:numId w:val="14"/>
        </w:numPr>
        <w:jc w:val="both"/>
        <w:rPr>
          <w:rFonts w:ascii="Sylfaen" w:eastAsia="Sylfaen" w:hAnsi="Sylfaen" w:cs="Sylfaen"/>
          <w:lang w:val="ka-GE"/>
        </w:rPr>
      </w:pPr>
      <w:r w:rsidRPr="004C0A08">
        <w:rPr>
          <w:rFonts w:ascii="Sylfaen" w:eastAsia="Sylfaen" w:hAnsi="Sylfaen" w:cs="Sylfaen"/>
          <w:lang w:val="ka-GE"/>
        </w:rPr>
        <w:t xml:space="preserve">ლიმიტირებული ხარჯების პირობებში ხარისხის უზრუნველყოფად 2017 წლის </w:t>
      </w:r>
      <w:r>
        <w:rPr>
          <w:rFonts w:ascii="Sylfaen" w:eastAsia="Sylfaen" w:hAnsi="Sylfaen" w:cs="Sylfaen"/>
          <w:lang w:val="ka-GE"/>
        </w:rPr>
        <w:t xml:space="preserve">მარტიდან </w:t>
      </w:r>
      <w:r w:rsidRPr="004C0A08">
        <w:rPr>
          <w:rFonts w:ascii="Sylfaen" w:eastAsia="Sylfaen" w:hAnsi="Sylfaen" w:cs="Sylfaen"/>
          <w:lang w:val="ka-GE"/>
        </w:rPr>
        <w:t xml:space="preserve">დაიწყო სელექტიური კონტარქტირების დანერგვა. 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4C0A08">
        <w:rPr>
          <w:rFonts w:ascii="Sylfaen" w:eastAsia="Sylfaen" w:hAnsi="Sylfaen" w:cs="Sylfaen"/>
        </w:rPr>
        <w:t xml:space="preserve">II-III </w:t>
      </w:r>
      <w:proofErr w:type="spellStart"/>
      <w:r w:rsidRPr="004C0A08">
        <w:rPr>
          <w:rFonts w:ascii="Sylfaen" w:eastAsia="Sylfaen" w:hAnsi="Sylfaen" w:cs="Sylfaen"/>
        </w:rPr>
        <w:t>დონის</w:t>
      </w:r>
      <w:proofErr w:type="spellEnd"/>
      <w:r w:rsidRPr="004C0A08">
        <w:rPr>
          <w:rFonts w:ascii="Sylfaen" w:eastAsia="Sylfaen" w:hAnsi="Sylfaen" w:cs="Sylfaen"/>
        </w:rPr>
        <w:t xml:space="preserve"> </w:t>
      </w:r>
      <w:proofErr w:type="spellStart"/>
      <w:r w:rsidRPr="004C0A08">
        <w:rPr>
          <w:rFonts w:ascii="Sylfaen" w:eastAsia="Sylfaen" w:hAnsi="Sylfaen" w:cs="Sylfaen"/>
        </w:rPr>
        <w:t>ინტენსიური</w:t>
      </w:r>
      <w:proofErr w:type="spellEnd"/>
      <w:r w:rsidRPr="004C0A08">
        <w:rPr>
          <w:rFonts w:ascii="Sylfaen" w:eastAsia="Sylfaen" w:hAnsi="Sylfaen" w:cs="Sylfaen"/>
        </w:rPr>
        <w:t xml:space="preserve"> </w:t>
      </w:r>
      <w:proofErr w:type="spellStart"/>
      <w:r w:rsidRPr="004C0A08">
        <w:rPr>
          <w:rFonts w:ascii="Sylfaen" w:eastAsia="Sylfaen" w:hAnsi="Sylfaen" w:cs="Sylfaen"/>
        </w:rPr>
        <w:t>მკურნალობა</w:t>
      </w:r>
      <w:proofErr w:type="spellEnd"/>
      <w:r w:rsidRPr="004C0A08">
        <w:rPr>
          <w:rFonts w:ascii="Sylfaen" w:eastAsia="Sylfaen" w:hAnsi="Sylfaen" w:cs="Sylfaen"/>
        </w:rPr>
        <w:t>/</w:t>
      </w:r>
      <w:proofErr w:type="spellStart"/>
      <w:r w:rsidRPr="004C0A08">
        <w:rPr>
          <w:rFonts w:ascii="Sylfaen" w:eastAsia="Sylfaen" w:hAnsi="Sylfaen" w:cs="Sylfaen"/>
        </w:rPr>
        <w:t>მოვლ</w:t>
      </w:r>
      <w:proofErr w:type="spellEnd"/>
      <w:r w:rsidRPr="004C0A08">
        <w:rPr>
          <w:rFonts w:ascii="Sylfaen" w:eastAsia="Sylfaen" w:hAnsi="Sylfaen" w:cs="Sylfaen"/>
          <w:lang w:val="ka-GE"/>
        </w:rPr>
        <w:t xml:space="preserve">ის, ხოლო </w:t>
      </w:r>
      <w:r>
        <w:rPr>
          <w:rFonts w:ascii="Sylfaen" w:eastAsia="Sylfaen" w:hAnsi="Sylfaen" w:cs="Sylfaen"/>
          <w:lang w:val="ka-GE"/>
        </w:rPr>
        <w:t xml:space="preserve">2018 წლის </w:t>
      </w:r>
      <w:r w:rsidRPr="004C0A08">
        <w:rPr>
          <w:rFonts w:ascii="Sylfaen" w:eastAsia="Sylfaen" w:hAnsi="Sylfaen" w:cs="Sylfaen"/>
          <w:lang w:val="ka-GE"/>
        </w:rPr>
        <w:t>იანვრიდან დაიწყ</w:t>
      </w:r>
      <w:r>
        <w:rPr>
          <w:rFonts w:ascii="Sylfaen" w:eastAsia="Sylfaen" w:hAnsi="Sylfaen" w:cs="Sylfaen"/>
          <w:lang w:val="ka-GE"/>
        </w:rPr>
        <w:t>ო</w:t>
      </w:r>
      <w:r w:rsidRPr="004C0A08">
        <w:rPr>
          <w:rFonts w:ascii="Sylfaen" w:eastAsia="Sylfaen" w:hAnsi="Sylfaen" w:cs="Sylfaen"/>
          <w:lang w:val="ka-GE"/>
        </w:rPr>
        <w:t xml:space="preserve">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r>
        <w:rPr>
          <w:rFonts w:ascii="Sylfaen" w:eastAsia="Sylfaen" w:hAnsi="Sylfaen" w:cs="Sylfaen"/>
          <w:lang w:val="ka-GE"/>
        </w:rPr>
        <w:t xml:space="preserve"> 2018 წლის მა</w:t>
      </w:r>
      <w:r w:rsidR="00403D18">
        <w:rPr>
          <w:rFonts w:ascii="Sylfaen" w:eastAsia="Sylfaen" w:hAnsi="Sylfaen" w:cs="Sylfaen"/>
          <w:lang w:val="ka-GE"/>
        </w:rPr>
        <w:t>ტ</w:t>
      </w:r>
      <w:r>
        <w:rPr>
          <w:rFonts w:ascii="Sylfaen" w:eastAsia="Sylfaen" w:hAnsi="Sylfaen" w:cs="Sylfaen"/>
          <w:lang w:val="ka-GE"/>
        </w:rPr>
        <w:t>იდან ამოქმედდა სელექციის კრიტერიუმები გულის თანდაყოლილი მანკების მკურნალობის სერვისებზე. 2019 წლის ნოემბრიდან დაიწყო კარდიოქირირგიის და ინტენსიური სერვისების სელექციის კრიტერიუმების ამოქმედება</w:t>
      </w:r>
    </w:p>
    <w:p w:rsidR="00CA68C2" w:rsidRDefault="00CA68C2" w:rsidP="004C0A08">
      <w:pPr>
        <w:pStyle w:val="ListParagraph"/>
        <w:numPr>
          <w:ilvl w:val="0"/>
          <w:numId w:val="14"/>
        </w:numPr>
        <w:jc w:val="both"/>
        <w:rPr>
          <w:rFonts w:ascii="Sylfaen" w:eastAsia="Sylfaen" w:hAnsi="Sylfaen" w:cs="Sylfaen"/>
          <w:lang w:val="ka-GE"/>
        </w:rPr>
      </w:pPr>
      <w:r>
        <w:rPr>
          <w:rFonts w:ascii="Sylfaen" w:hAnsi="Sylfaen" w:cs="Sylfaen"/>
          <w:lang w:val="ka-GE"/>
        </w:rPr>
        <w:t>ჯანმოს ტექნიკური დახმარებით, სამინისტრომ მოამზადა სტრატეგიული შესყიდვების დანერგვის სტრატეგია, რომელიც წარმოადგენს სოციალური მომსახურების სააგენტოს ეფექტიანობის გაუმჯობესების ბაზისს.</w:t>
      </w:r>
    </w:p>
    <w:p w:rsidR="00CA68C2" w:rsidRDefault="00CA68C2" w:rsidP="00CA68C2">
      <w:pPr>
        <w:jc w:val="both"/>
        <w:rPr>
          <w:rFonts w:ascii="Sylfaen" w:eastAsia="Sylfaen" w:hAnsi="Sylfaen" w:cs="Sylfaen"/>
        </w:rPr>
      </w:pPr>
    </w:p>
    <w:p w:rsidR="00CA68C2" w:rsidRDefault="00CA68C2" w:rsidP="00CA68C2">
      <w:pPr>
        <w:spacing w:after="120" w:line="276" w:lineRule="auto"/>
        <w:jc w:val="both"/>
        <w:rPr>
          <w:rFonts w:ascii="Sylfaen" w:hAnsi="Sylfaen" w:cstheme="minorHAnsi"/>
          <w:b/>
          <w:bCs/>
        </w:rPr>
      </w:pPr>
      <w:r w:rsidRPr="00070114">
        <w:rPr>
          <w:rFonts w:ascii="Sylfaen" w:hAnsi="Sylfaen" w:cstheme="minorHAnsi"/>
          <w:b/>
          <w:lang w:val="ka-GE"/>
        </w:rPr>
        <w:t>პარაგრაფი 7.</w:t>
      </w:r>
      <w:r>
        <w:rPr>
          <w:rFonts w:ascii="Sylfaen" w:hAnsi="Sylfaen" w:cstheme="minorHAnsi"/>
          <w:b/>
          <w:lang w:val="ka-GE"/>
        </w:rPr>
        <w:t xml:space="preserve"> </w:t>
      </w:r>
      <w:r w:rsidRPr="00070114">
        <w:rPr>
          <w:rFonts w:ascii="Sylfaen" w:hAnsi="Sylfaen" w:cstheme="minorHAnsi"/>
          <w:b/>
          <w:bCs/>
          <w:lang w:val="ka-GE"/>
        </w:rPr>
        <w:t>დასაქმების ბაზარზე მოთხოვნისა და მიწოდების ბალანსისთვის და დასაქმების ზრდისთვის, საქართველოს მთავრობა დაამტკიცებს  შრომის ბაზრის საშუალოვადიან ახალ სტრატეგიას და  სამოქმედო გეგმას და დაიწყებს მის განხორციელებას, რომელიც მოიცავს: შრომის ბაზრის ანალიზს და პროგნოზირებას; საჯარო დასაქმების სამსახურისა და შრომის ინსპექციის სისტემის შექმნას საერთაშორისო და ევროკავშირის სტანდარტებთან შესაბამისობაში; და დასაქმების შესახებ სამართლებრივი ჩარჩოს მომზადებას.</w:t>
      </w:r>
    </w:p>
    <w:p w:rsidR="00CA68C2" w:rsidRPr="00CA68C2" w:rsidRDefault="00CA68C2" w:rsidP="00CA68C2">
      <w:pPr>
        <w:spacing w:after="120" w:line="276" w:lineRule="auto"/>
        <w:jc w:val="both"/>
        <w:rPr>
          <w:rFonts w:ascii="Sylfaen" w:hAnsi="Sylfaen" w:cstheme="minorHAnsi"/>
          <w:b/>
        </w:rPr>
      </w:pPr>
    </w:p>
    <w:p w:rsidR="00CA68C2" w:rsidRDefault="00CA68C2" w:rsidP="00CA68C2">
      <w:pPr>
        <w:pStyle w:val="ListParagraph"/>
        <w:numPr>
          <w:ilvl w:val="0"/>
          <w:numId w:val="15"/>
        </w:numPr>
        <w:spacing w:line="256" w:lineRule="auto"/>
        <w:rPr>
          <w:b/>
        </w:rPr>
      </w:pPr>
      <w:r>
        <w:rPr>
          <w:rFonts w:ascii="Sylfaen" w:hAnsi="Sylfaen"/>
          <w:b/>
          <w:lang w:val="ka-GE"/>
        </w:rPr>
        <w:t xml:space="preserve">შრომის ბაზრის სტრატეგიისა და დასაქმების კანონის შესახებ დადგენილების შესახებ </w:t>
      </w:r>
    </w:p>
    <w:p w:rsidR="00CA68C2" w:rsidRDefault="00CA68C2" w:rsidP="00CA68C2">
      <w:pPr>
        <w:jc w:val="both"/>
        <w:rPr>
          <w:rFonts w:ascii="Sylfaen" w:hAnsi="Sylfaen" w:cs="Menlo Bold"/>
          <w:lang w:val="ka-GE"/>
        </w:rPr>
      </w:pPr>
      <w:r>
        <w:rPr>
          <w:rFonts w:ascii="Sylfaen" w:hAnsi="Sylfaen" w:cs="Menlo Bold"/>
          <w:lang w:val="ka-GE"/>
        </w:rPr>
        <w:t xml:space="preserve">ევროკავშირსა და საქართველოს შორის გაფორმებული მიკროსაფინანსო შეთანხმების შესაბამისად, საქართველომ სხვა წინაპირობებთან ერთად უნდა უზრუნველყოს, რომ შრომისა და დასაქმების პოლიტიკის ეროვნული სტრატეგია სხვა საკითხებთან ერთად მოიცავს სახელმწიფო დასაქმების სამსახურის შექმნას და დასაქმებასთან დაკავშირებული კანონმდებლობის შემუშავებას/მიღებას.  ამ მიზნით, შემუშავდა და საქართველოს მთავრობას დასამტკიცებლად რამდენჯერმე წარედგინა შრომისა და დასაქმების პოლიტიკის  ეროვნული  სტრატეგია (2019-2023) და სტრეტეგიის სამოქმედო გეგმა (2019-2021). სტრატეგიისა და მისი სამოქმედო გეგმის პროექტები გადამუშავდა და საბოლოო სახე მიიღო სხვადასხვა უწყების შენიშვნებისა და კომენტარების გათვალისწინებით. სტრატეგიის საბოლოო ვერსია სრულად მისაღებია ყველა უწყებისთვის. სტრატეგიის გატანა მთავრობის სხდომაზე დაგეგმილია  ორშაბათს,  30 დეკემბერს. </w:t>
      </w:r>
    </w:p>
    <w:p w:rsidR="00CA68C2" w:rsidRDefault="00CA68C2" w:rsidP="00CA68C2">
      <w:pPr>
        <w:jc w:val="both"/>
        <w:rPr>
          <w:rFonts w:ascii="Sylfaen" w:eastAsia="Helvetica" w:hAnsi="Sylfaen" w:cs="Times New Roman"/>
          <w:lang w:val="ka-GE"/>
        </w:rPr>
      </w:pPr>
      <w:r>
        <w:rPr>
          <w:rFonts w:ascii="Sylfaen" w:hAnsi="Sylfaen" w:cs="Menlo Bold"/>
          <w:lang w:val="ka-GE"/>
        </w:rPr>
        <w:lastRenderedPageBreak/>
        <w:t>შესამუშავებულია შრომის</w:t>
      </w:r>
      <w:r>
        <w:rPr>
          <w:rFonts w:ascii="Sylfaen" w:hAnsi="Sylfaen" w:cs="Times New Roman"/>
          <w:lang w:val="ka-GE"/>
        </w:rPr>
        <w:t xml:space="preserve"> </w:t>
      </w:r>
      <w:r>
        <w:rPr>
          <w:rFonts w:ascii="Sylfaen" w:hAnsi="Sylfaen" w:cs="Menlo Bold"/>
          <w:lang w:val="ka-GE"/>
        </w:rPr>
        <w:t>ბაზრის</w:t>
      </w:r>
      <w:r>
        <w:rPr>
          <w:rFonts w:ascii="Sylfaen" w:hAnsi="Sylfaen" w:cs="Times New Roman"/>
          <w:lang w:val="ka-GE"/>
        </w:rPr>
        <w:t xml:space="preserve"> </w:t>
      </w:r>
      <w:r>
        <w:rPr>
          <w:rFonts w:ascii="Sylfaen" w:hAnsi="Sylfaen" w:cs="Menlo Bold"/>
          <w:lang w:val="ka-GE"/>
        </w:rPr>
        <w:t>აქტიურ</w:t>
      </w:r>
      <w:r>
        <w:rPr>
          <w:rFonts w:ascii="Sylfaen" w:hAnsi="Sylfaen" w:cs="Times New Roman"/>
          <w:lang w:val="ka-GE"/>
        </w:rPr>
        <w:t xml:space="preserve"> </w:t>
      </w:r>
      <w:r>
        <w:rPr>
          <w:rFonts w:ascii="Sylfaen" w:hAnsi="Sylfaen" w:cs="Menlo Bold"/>
          <w:lang w:val="ka-GE"/>
        </w:rPr>
        <w:t>პოლიტიკასთან</w:t>
      </w:r>
      <w:r>
        <w:rPr>
          <w:rFonts w:ascii="Sylfaen" w:hAnsi="Sylfaen" w:cs="Times New Roman"/>
          <w:lang w:val="ka-GE"/>
        </w:rPr>
        <w:t xml:space="preserve"> (ALMP-</w:t>
      </w:r>
      <w:r>
        <w:rPr>
          <w:rFonts w:ascii="Sylfaen" w:hAnsi="Sylfaen" w:cs="Menlo Bold"/>
          <w:lang w:val="ka-GE"/>
        </w:rPr>
        <w:t>თან</w:t>
      </w:r>
      <w:r>
        <w:rPr>
          <w:rFonts w:ascii="Sylfaen" w:hAnsi="Sylfaen" w:cs="Times New Roman"/>
          <w:lang w:val="ka-GE"/>
        </w:rPr>
        <w:t xml:space="preserve">)  </w:t>
      </w:r>
      <w:r>
        <w:rPr>
          <w:rFonts w:ascii="Sylfaen" w:hAnsi="Sylfaen" w:cs="Menlo Bold"/>
          <w:lang w:val="ka-GE"/>
        </w:rPr>
        <w:t>დაკავშირებული</w:t>
      </w:r>
      <w:r>
        <w:rPr>
          <w:rFonts w:ascii="Sylfaen" w:hAnsi="Sylfaen" w:cs="Times New Roman"/>
          <w:lang w:val="ka-GE"/>
        </w:rPr>
        <w:t xml:space="preserve"> </w:t>
      </w:r>
      <w:r>
        <w:rPr>
          <w:rFonts w:ascii="Sylfaen" w:eastAsia="Helvetica" w:hAnsi="Sylfaen" w:cs="Menlo Bold"/>
          <w:lang w:val="ka-GE"/>
        </w:rPr>
        <w:t>საკანონმდებლო</w:t>
      </w:r>
      <w:r>
        <w:rPr>
          <w:rFonts w:ascii="Sylfaen" w:eastAsia="Helvetica" w:hAnsi="Sylfaen" w:cs="Times New Roman"/>
          <w:lang w:val="ka-GE"/>
        </w:rPr>
        <w:t xml:space="preserve"> </w:t>
      </w:r>
      <w:r>
        <w:rPr>
          <w:rFonts w:ascii="Sylfaen" w:eastAsia="Helvetica" w:hAnsi="Sylfaen" w:cs="Menlo Bold"/>
          <w:lang w:val="ka-GE"/>
        </w:rPr>
        <w:t>ჩარჩო</w:t>
      </w:r>
      <w:r>
        <w:rPr>
          <w:rFonts w:ascii="Sylfaen" w:eastAsia="Helvetica" w:hAnsi="Sylfaen" w:cs="Times New Roman"/>
          <w:lang w:val="ka-GE"/>
        </w:rPr>
        <w:t xml:space="preserve">, </w:t>
      </w:r>
      <w:r>
        <w:rPr>
          <w:rFonts w:ascii="Sylfaen" w:eastAsia="Helvetica" w:hAnsi="Sylfaen" w:cs="Menlo Bold"/>
          <w:lang w:val="ka-GE"/>
        </w:rPr>
        <w:t>რომელიც</w:t>
      </w:r>
      <w:r>
        <w:rPr>
          <w:rFonts w:ascii="Sylfaen" w:eastAsia="Helvetica" w:hAnsi="Sylfaen" w:cs="Times New Roman"/>
          <w:lang w:val="ka-GE"/>
        </w:rPr>
        <w:t xml:space="preserve"> </w:t>
      </w:r>
      <w:r>
        <w:rPr>
          <w:rFonts w:ascii="Sylfaen" w:eastAsia="Helvetica" w:hAnsi="Sylfaen" w:cs="Menlo Bold"/>
          <w:lang w:val="ka-GE"/>
        </w:rPr>
        <w:t>უზრუნველყოფს</w:t>
      </w:r>
      <w:r>
        <w:rPr>
          <w:rFonts w:ascii="Sylfaen" w:eastAsia="Helvetica" w:hAnsi="Sylfaen" w:cs="Times New Roman"/>
          <w:lang w:val="ka-GE"/>
        </w:rPr>
        <w:t xml:space="preserve"> </w:t>
      </w:r>
      <w:r>
        <w:rPr>
          <w:rFonts w:ascii="Sylfaen" w:eastAsia="Helvetica" w:hAnsi="Sylfaen" w:cs="Menlo Bold"/>
          <w:lang w:val="ka-GE"/>
        </w:rPr>
        <w:t>დასაქმების</w:t>
      </w:r>
      <w:r>
        <w:rPr>
          <w:rFonts w:ascii="Sylfaen" w:eastAsia="Helvetica" w:hAnsi="Sylfaen" w:cs="Times New Roman"/>
          <w:lang w:val="ka-GE"/>
        </w:rPr>
        <w:t xml:space="preserve"> </w:t>
      </w:r>
      <w:r>
        <w:rPr>
          <w:rFonts w:ascii="Sylfaen" w:eastAsia="Helvetica" w:hAnsi="Sylfaen" w:cs="Menlo Bold"/>
          <w:lang w:val="ka-GE"/>
        </w:rPr>
        <w:t>პოლიტიკის</w:t>
      </w:r>
      <w:r>
        <w:rPr>
          <w:rFonts w:ascii="Sylfaen" w:eastAsia="Helvetica" w:hAnsi="Sylfaen" w:cs="Times New Roman"/>
          <w:lang w:val="ka-GE"/>
        </w:rPr>
        <w:t xml:space="preserve"> </w:t>
      </w:r>
      <w:r>
        <w:rPr>
          <w:rFonts w:ascii="Sylfaen" w:eastAsia="Helvetica" w:hAnsi="Sylfaen" w:cs="Menlo Bold"/>
          <w:lang w:val="ka-GE"/>
        </w:rPr>
        <w:t>განხორციელების</w:t>
      </w:r>
      <w:r>
        <w:rPr>
          <w:rFonts w:ascii="Sylfaen" w:eastAsia="Helvetica" w:hAnsi="Sylfaen" w:cs="Times New Roman"/>
          <w:lang w:val="ka-GE"/>
        </w:rPr>
        <w:t xml:space="preserve"> </w:t>
      </w:r>
      <w:r>
        <w:rPr>
          <w:rFonts w:ascii="Sylfaen" w:eastAsia="Helvetica" w:hAnsi="Sylfaen" w:cs="Menlo Bold"/>
          <w:lang w:val="ka-GE"/>
        </w:rPr>
        <w:t>სისტემურ</w:t>
      </w:r>
      <w:r>
        <w:rPr>
          <w:rFonts w:ascii="Sylfaen" w:eastAsia="Helvetica" w:hAnsi="Sylfaen" w:cs="Times New Roman"/>
          <w:lang w:val="ka-GE"/>
        </w:rPr>
        <w:t xml:space="preserve"> </w:t>
      </w:r>
      <w:r>
        <w:rPr>
          <w:rFonts w:ascii="Sylfaen" w:eastAsia="Helvetica" w:hAnsi="Sylfaen" w:cs="Menlo Bold"/>
          <w:lang w:val="ka-GE"/>
        </w:rPr>
        <w:t>და</w:t>
      </w:r>
      <w:r>
        <w:rPr>
          <w:rFonts w:ascii="Sylfaen" w:eastAsia="Helvetica" w:hAnsi="Sylfaen" w:cs="Times New Roman"/>
          <w:lang w:val="ka-GE"/>
        </w:rPr>
        <w:t xml:space="preserve"> </w:t>
      </w:r>
      <w:r>
        <w:rPr>
          <w:rFonts w:ascii="Sylfaen" w:eastAsia="Helvetica" w:hAnsi="Sylfaen" w:cs="Menlo Bold"/>
          <w:lang w:val="ka-GE"/>
        </w:rPr>
        <w:t>თანმიმდევრულ</w:t>
      </w:r>
      <w:r>
        <w:rPr>
          <w:rFonts w:ascii="Sylfaen" w:eastAsia="Helvetica" w:hAnsi="Sylfaen" w:cs="Times New Roman"/>
          <w:lang w:val="ka-GE"/>
        </w:rPr>
        <w:t xml:space="preserve">  </w:t>
      </w:r>
      <w:r>
        <w:rPr>
          <w:rFonts w:ascii="Sylfaen" w:eastAsia="Helvetica" w:hAnsi="Sylfaen" w:cs="Menlo Bold"/>
          <w:lang w:val="ka-GE"/>
        </w:rPr>
        <w:t>მიდგომას</w:t>
      </w:r>
      <w:r>
        <w:rPr>
          <w:rFonts w:ascii="Sylfaen" w:eastAsia="Helvetica" w:hAnsi="Sylfaen" w:cs="Times New Roman"/>
          <w:lang w:val="ka-GE"/>
        </w:rPr>
        <w:t xml:space="preserve">.  </w:t>
      </w:r>
      <w:r>
        <w:rPr>
          <w:rFonts w:ascii="Sylfaen" w:eastAsia="Helvetica" w:hAnsi="Sylfaen" w:cs="Menlo Bold"/>
          <w:lang w:val="ka-GE"/>
        </w:rPr>
        <w:t>საქართველოს</w:t>
      </w:r>
      <w:r>
        <w:rPr>
          <w:rFonts w:ascii="Sylfaen" w:eastAsia="Helvetica" w:hAnsi="Sylfaen" w:cs="Times New Roman"/>
          <w:lang w:val="ka-GE"/>
        </w:rPr>
        <w:t xml:space="preserve"> </w:t>
      </w:r>
      <w:r>
        <w:rPr>
          <w:rFonts w:ascii="Sylfaen" w:eastAsia="Helvetica" w:hAnsi="Sylfaen" w:cs="Menlo Bold"/>
          <w:lang w:val="ka-GE"/>
        </w:rPr>
        <w:t>კანონის</w:t>
      </w:r>
      <w:r>
        <w:rPr>
          <w:rFonts w:ascii="Sylfaen" w:eastAsia="Helvetica" w:hAnsi="Sylfaen" w:cs="Times New Roman"/>
          <w:lang w:val="ka-GE"/>
        </w:rPr>
        <w:t xml:space="preserve"> </w:t>
      </w:r>
      <w:r>
        <w:rPr>
          <w:rFonts w:ascii="Sylfaen" w:eastAsia="Helvetica" w:hAnsi="Sylfaen" w:cs="Menlo Bold"/>
          <w:lang w:val="ka-GE"/>
        </w:rPr>
        <w:t>პროექტის</w:t>
      </w:r>
      <w:r>
        <w:rPr>
          <w:rFonts w:ascii="Sylfaen" w:eastAsia="Helvetica" w:hAnsi="Sylfaen" w:cs="Times New Roman"/>
          <w:lang w:val="ka-GE"/>
        </w:rPr>
        <w:t xml:space="preserve"> </w:t>
      </w:r>
      <w:r>
        <w:rPr>
          <w:rFonts w:ascii="Sylfaen" w:eastAsia="Helvetica" w:hAnsi="Sylfaen" w:cs="Menlo Bold"/>
          <w:lang w:val="ka-GE"/>
        </w:rPr>
        <w:t>სამუშაო</w:t>
      </w:r>
      <w:r>
        <w:rPr>
          <w:rFonts w:ascii="Sylfaen" w:eastAsia="Helvetica" w:hAnsi="Sylfaen" w:cs="Times New Roman"/>
          <w:lang w:val="ka-GE"/>
        </w:rPr>
        <w:t xml:space="preserve"> </w:t>
      </w:r>
      <w:r>
        <w:rPr>
          <w:rFonts w:ascii="Sylfaen" w:eastAsia="Helvetica" w:hAnsi="Sylfaen" w:cs="Menlo Bold"/>
          <w:lang w:val="ka-GE"/>
        </w:rPr>
        <w:t>ვერსია</w:t>
      </w:r>
      <w:r>
        <w:rPr>
          <w:rFonts w:ascii="Sylfaen" w:eastAsia="Helvetica" w:hAnsi="Sylfaen" w:cs="Times New Roman"/>
          <w:lang w:val="ka-GE"/>
        </w:rPr>
        <w:t xml:space="preserve"> </w:t>
      </w:r>
      <w:r>
        <w:rPr>
          <w:rFonts w:ascii="Sylfaen" w:eastAsia="Helvetica" w:hAnsi="Sylfaen" w:cs="Menlo Bold"/>
          <w:lang w:val="ka-GE"/>
        </w:rPr>
        <w:t>შემუშავებულია</w:t>
      </w:r>
      <w:r>
        <w:rPr>
          <w:rFonts w:ascii="Sylfaen" w:eastAsia="Helvetica" w:hAnsi="Sylfaen" w:cs="Times New Roman"/>
          <w:lang w:val="ka-GE"/>
        </w:rPr>
        <w:t xml:space="preserve"> (</w:t>
      </w:r>
      <w:r>
        <w:rPr>
          <w:rFonts w:ascii="Sylfaen" w:eastAsia="Helvetica" w:hAnsi="Sylfaen" w:cs="Times New Roman"/>
        </w:rPr>
        <w:t xml:space="preserve">EUVEGE </w:t>
      </w:r>
      <w:r>
        <w:rPr>
          <w:rFonts w:ascii="Sylfaen" w:eastAsia="Helvetica" w:hAnsi="Sylfaen" w:cs="Times New Roman"/>
          <w:lang w:val="ka-GE"/>
        </w:rPr>
        <w:t>-</w:t>
      </w:r>
      <w:r>
        <w:rPr>
          <w:rFonts w:ascii="Sylfaen" w:eastAsia="Helvetica" w:hAnsi="Sylfaen" w:cs="Menlo Bold"/>
          <w:lang w:val="ka-GE"/>
        </w:rPr>
        <w:t>ს</w:t>
      </w:r>
      <w:r>
        <w:rPr>
          <w:rFonts w:ascii="Sylfaen" w:eastAsia="Helvetica" w:hAnsi="Sylfaen" w:cs="Times New Roman"/>
          <w:lang w:val="ka-GE"/>
        </w:rPr>
        <w:t xml:space="preserve"> </w:t>
      </w:r>
      <w:r>
        <w:rPr>
          <w:rFonts w:ascii="Sylfaen" w:eastAsia="Helvetica" w:hAnsi="Sylfaen" w:cs="Menlo Bold"/>
          <w:lang w:val="ka-GE"/>
        </w:rPr>
        <w:t>ტექნიკური</w:t>
      </w:r>
      <w:r>
        <w:rPr>
          <w:rFonts w:ascii="Sylfaen" w:eastAsia="Helvetica" w:hAnsi="Sylfaen" w:cs="Times New Roman"/>
          <w:lang w:val="ka-GE"/>
        </w:rPr>
        <w:t xml:space="preserve"> </w:t>
      </w:r>
      <w:r>
        <w:rPr>
          <w:rFonts w:ascii="Sylfaen" w:eastAsia="Helvetica" w:hAnsi="Sylfaen" w:cs="Menlo Bold"/>
          <w:lang w:val="ka-GE"/>
        </w:rPr>
        <w:t>მხარდაჭერით</w:t>
      </w:r>
      <w:r>
        <w:rPr>
          <w:rFonts w:ascii="Sylfaen" w:eastAsia="Helvetica" w:hAnsi="Sylfaen" w:cs="Times New Roman"/>
          <w:lang w:val="ka-GE"/>
        </w:rPr>
        <w:t xml:space="preserve">). </w:t>
      </w:r>
      <w:r>
        <w:rPr>
          <w:rFonts w:ascii="Sylfaen" w:eastAsia="Helvetica" w:hAnsi="Sylfaen" w:cs="Menlo Bold"/>
          <w:lang w:val="ka-GE"/>
        </w:rPr>
        <w:t>კანონმა</w:t>
      </w:r>
      <w:r>
        <w:rPr>
          <w:rFonts w:ascii="Sylfaen" w:eastAsia="Helvetica" w:hAnsi="Sylfaen" w:cs="Times New Roman"/>
          <w:lang w:val="ka-GE"/>
        </w:rPr>
        <w:t xml:space="preserve"> </w:t>
      </w:r>
      <w:r>
        <w:rPr>
          <w:rFonts w:ascii="Sylfaen" w:eastAsia="Helvetica" w:hAnsi="Sylfaen" w:cs="Menlo Bold"/>
          <w:lang w:val="ka-GE"/>
        </w:rPr>
        <w:t>უნდა</w:t>
      </w:r>
      <w:r>
        <w:rPr>
          <w:rFonts w:ascii="Sylfaen" w:eastAsia="Helvetica" w:hAnsi="Sylfaen" w:cs="Times New Roman"/>
          <w:lang w:val="ka-GE"/>
        </w:rPr>
        <w:t xml:space="preserve"> </w:t>
      </w:r>
      <w:r>
        <w:rPr>
          <w:rFonts w:ascii="Sylfaen" w:eastAsia="Helvetica" w:hAnsi="Sylfaen" w:cs="Menlo Bold"/>
          <w:lang w:val="ka-GE"/>
        </w:rPr>
        <w:t>დაარეგულიროს</w:t>
      </w:r>
      <w:r>
        <w:rPr>
          <w:rFonts w:ascii="Sylfaen" w:hAnsi="Sylfaen" w:cs="Times New Roman"/>
          <w:lang w:val="ka-GE"/>
        </w:rPr>
        <w:t xml:space="preserve"> </w:t>
      </w:r>
      <w:r>
        <w:rPr>
          <w:rFonts w:ascii="Sylfaen" w:eastAsia="Helvetica" w:hAnsi="Sylfaen" w:cs="Menlo Bold"/>
          <w:lang w:val="ka-GE"/>
        </w:rPr>
        <w:t>დასაქმებასთან</w:t>
      </w:r>
      <w:r>
        <w:rPr>
          <w:rFonts w:ascii="Sylfaen" w:hAnsi="Sylfaen" w:cs="Times New Roman"/>
          <w:lang w:val="ka-GE"/>
        </w:rPr>
        <w:t xml:space="preserve"> </w:t>
      </w:r>
      <w:r>
        <w:rPr>
          <w:rFonts w:ascii="Sylfaen" w:eastAsia="Helvetica" w:hAnsi="Sylfaen" w:cs="Menlo Bold"/>
          <w:lang w:val="ka-GE"/>
        </w:rPr>
        <w:t>დაკავშირებული</w:t>
      </w:r>
      <w:r>
        <w:rPr>
          <w:rFonts w:ascii="Sylfaen" w:hAnsi="Sylfaen" w:cs="Times New Roman"/>
          <w:lang w:val="ka-GE"/>
        </w:rPr>
        <w:t xml:space="preserve"> </w:t>
      </w:r>
      <w:r>
        <w:rPr>
          <w:rFonts w:ascii="Sylfaen" w:eastAsia="Helvetica" w:hAnsi="Sylfaen" w:cs="Menlo Bold"/>
          <w:lang w:val="ka-GE"/>
        </w:rPr>
        <w:t>საქმიანობები</w:t>
      </w:r>
      <w:r>
        <w:rPr>
          <w:rFonts w:ascii="Sylfaen" w:hAnsi="Sylfaen" w:cs="Times New Roman"/>
          <w:lang w:val="ka-GE"/>
        </w:rPr>
        <w:t xml:space="preserve"> </w:t>
      </w:r>
      <w:r>
        <w:rPr>
          <w:rFonts w:ascii="Sylfaen" w:eastAsia="Helvetica" w:hAnsi="Sylfaen" w:cs="Menlo Bold"/>
          <w:lang w:val="ka-GE"/>
        </w:rPr>
        <w:t>და</w:t>
      </w:r>
      <w:r>
        <w:rPr>
          <w:rFonts w:ascii="Sylfaen" w:hAnsi="Sylfaen" w:cs="Times New Roman"/>
          <w:lang w:val="ka-GE"/>
        </w:rPr>
        <w:t xml:space="preserve"> </w:t>
      </w:r>
      <w:r>
        <w:rPr>
          <w:rFonts w:ascii="Sylfaen" w:eastAsia="Helvetica" w:hAnsi="Sylfaen" w:cs="Menlo Bold"/>
          <w:lang w:val="ka-GE"/>
        </w:rPr>
        <w:t>დასაქმების</w:t>
      </w:r>
      <w:r>
        <w:rPr>
          <w:rFonts w:ascii="Sylfaen" w:hAnsi="Sylfaen" w:cs="Times New Roman"/>
          <w:lang w:val="ka-GE"/>
        </w:rPr>
        <w:t xml:space="preserve"> </w:t>
      </w:r>
      <w:r>
        <w:rPr>
          <w:rFonts w:ascii="Sylfaen" w:eastAsia="Helvetica" w:hAnsi="Sylfaen" w:cs="Menlo Bold"/>
          <w:lang w:val="ka-GE"/>
        </w:rPr>
        <w:t>საკითხებზე</w:t>
      </w:r>
      <w:r>
        <w:rPr>
          <w:rFonts w:ascii="Sylfaen" w:hAnsi="Sylfaen" w:cs="Times New Roman"/>
          <w:lang w:val="ka-GE"/>
        </w:rPr>
        <w:t xml:space="preserve"> </w:t>
      </w:r>
      <w:r>
        <w:rPr>
          <w:rFonts w:ascii="Sylfaen" w:eastAsia="Helvetica" w:hAnsi="Sylfaen" w:cs="Menlo Bold"/>
          <w:lang w:val="ka-GE"/>
        </w:rPr>
        <w:t>კომპეტენტური</w:t>
      </w:r>
      <w:r>
        <w:rPr>
          <w:rFonts w:ascii="Sylfaen" w:hAnsi="Sylfaen" w:cs="Times New Roman"/>
          <w:lang w:val="ka-GE"/>
        </w:rPr>
        <w:t xml:space="preserve"> </w:t>
      </w:r>
      <w:r>
        <w:rPr>
          <w:rFonts w:ascii="Sylfaen" w:eastAsia="Helvetica" w:hAnsi="Sylfaen" w:cs="Menlo Bold"/>
          <w:lang w:val="ka-GE"/>
        </w:rPr>
        <w:t>ინსტიტუტები</w:t>
      </w:r>
      <w:r>
        <w:rPr>
          <w:rFonts w:ascii="Sylfaen" w:hAnsi="Sylfaen" w:cs="Times New Roman"/>
          <w:lang w:val="ka-GE"/>
        </w:rPr>
        <w:t xml:space="preserve">, </w:t>
      </w:r>
      <w:r>
        <w:rPr>
          <w:rFonts w:ascii="Sylfaen" w:eastAsia="Helvetica" w:hAnsi="Sylfaen" w:cs="Menlo Bold"/>
          <w:lang w:val="ka-GE"/>
        </w:rPr>
        <w:t>შრომის</w:t>
      </w:r>
      <w:r>
        <w:rPr>
          <w:rFonts w:ascii="Sylfaen" w:hAnsi="Sylfaen" w:cs="Times New Roman"/>
          <w:lang w:val="ka-GE"/>
        </w:rPr>
        <w:t xml:space="preserve"> </w:t>
      </w:r>
      <w:r>
        <w:rPr>
          <w:rFonts w:ascii="Sylfaen" w:eastAsia="Helvetica" w:hAnsi="Sylfaen" w:cs="Menlo Bold"/>
          <w:lang w:val="ka-GE"/>
        </w:rPr>
        <w:t>ბაზრის</w:t>
      </w:r>
      <w:r>
        <w:rPr>
          <w:rFonts w:ascii="Sylfaen" w:hAnsi="Sylfaen" w:cs="Times New Roman"/>
          <w:lang w:val="ka-GE"/>
        </w:rPr>
        <w:t xml:space="preserve"> </w:t>
      </w:r>
      <w:r>
        <w:rPr>
          <w:rFonts w:ascii="Sylfaen" w:eastAsia="Helvetica" w:hAnsi="Sylfaen" w:cs="Menlo Bold"/>
          <w:lang w:val="ka-GE"/>
        </w:rPr>
        <w:t>აქტიური</w:t>
      </w:r>
      <w:r>
        <w:rPr>
          <w:rFonts w:ascii="Sylfaen" w:hAnsi="Sylfaen" w:cs="Times New Roman"/>
          <w:lang w:val="ka-GE"/>
        </w:rPr>
        <w:t xml:space="preserve"> </w:t>
      </w:r>
      <w:r>
        <w:rPr>
          <w:rFonts w:ascii="Sylfaen" w:eastAsia="Helvetica" w:hAnsi="Sylfaen" w:cs="Menlo Bold"/>
          <w:lang w:val="ka-GE"/>
        </w:rPr>
        <w:t>პოლიტიკის</w:t>
      </w:r>
      <w:r>
        <w:rPr>
          <w:rFonts w:ascii="Sylfaen" w:hAnsi="Sylfaen" w:cs="Times New Roman"/>
          <w:lang w:val="ka-GE"/>
        </w:rPr>
        <w:t xml:space="preserve"> </w:t>
      </w:r>
      <w:r>
        <w:rPr>
          <w:rFonts w:ascii="Sylfaen" w:eastAsia="Helvetica" w:hAnsi="Sylfaen" w:cs="Menlo Bold"/>
          <w:lang w:val="ka-GE"/>
        </w:rPr>
        <w:t>ზომები</w:t>
      </w:r>
      <w:r>
        <w:rPr>
          <w:rFonts w:ascii="Sylfaen" w:hAnsi="Sylfaen" w:cs="Times New Roman"/>
          <w:lang w:val="ka-GE"/>
        </w:rPr>
        <w:t xml:space="preserve">, </w:t>
      </w:r>
      <w:r>
        <w:rPr>
          <w:rFonts w:ascii="Sylfaen" w:eastAsia="Helvetica" w:hAnsi="Sylfaen" w:cs="Menlo Bold"/>
          <w:lang w:val="ka-GE"/>
        </w:rPr>
        <w:t>უმუშევართა</w:t>
      </w:r>
      <w:r>
        <w:rPr>
          <w:rFonts w:ascii="Sylfaen" w:hAnsi="Sylfaen" w:cs="Times New Roman"/>
          <w:lang w:val="ka-GE"/>
        </w:rPr>
        <w:t xml:space="preserve"> </w:t>
      </w:r>
      <w:r>
        <w:rPr>
          <w:rFonts w:ascii="Sylfaen" w:eastAsia="Helvetica" w:hAnsi="Sylfaen" w:cs="Menlo Bold"/>
          <w:lang w:val="ka-GE"/>
        </w:rPr>
        <w:t>და</w:t>
      </w:r>
      <w:r>
        <w:rPr>
          <w:rFonts w:ascii="Sylfaen" w:hAnsi="Sylfaen" w:cs="Times New Roman"/>
          <w:lang w:val="ka-GE"/>
        </w:rPr>
        <w:t xml:space="preserve"> </w:t>
      </w:r>
      <w:r>
        <w:rPr>
          <w:rFonts w:ascii="Sylfaen" w:eastAsia="Helvetica" w:hAnsi="Sylfaen" w:cs="Menlo Bold"/>
          <w:lang w:val="ka-GE"/>
        </w:rPr>
        <w:t>დამსაქმებელთა</w:t>
      </w:r>
      <w:r>
        <w:rPr>
          <w:rFonts w:ascii="Sylfaen" w:hAnsi="Sylfaen" w:cs="Times New Roman"/>
          <w:lang w:val="ka-GE"/>
        </w:rPr>
        <w:t xml:space="preserve"> </w:t>
      </w:r>
      <w:r>
        <w:rPr>
          <w:rFonts w:ascii="Sylfaen" w:eastAsia="Helvetica" w:hAnsi="Sylfaen" w:cs="Menlo Bold"/>
          <w:lang w:val="ka-GE"/>
        </w:rPr>
        <w:t>უფლებები</w:t>
      </w:r>
      <w:r>
        <w:rPr>
          <w:rFonts w:ascii="Sylfaen" w:hAnsi="Sylfaen" w:cs="Times New Roman"/>
          <w:lang w:val="ka-GE"/>
        </w:rPr>
        <w:t xml:space="preserve"> </w:t>
      </w:r>
      <w:r>
        <w:rPr>
          <w:rFonts w:ascii="Sylfaen" w:eastAsia="Helvetica" w:hAnsi="Sylfaen" w:cs="Menlo Bold"/>
          <w:lang w:val="ka-GE"/>
        </w:rPr>
        <w:t>და</w:t>
      </w:r>
      <w:r>
        <w:rPr>
          <w:rFonts w:ascii="Sylfaen" w:hAnsi="Sylfaen" w:cs="Times New Roman"/>
          <w:lang w:val="ka-GE"/>
        </w:rPr>
        <w:t xml:space="preserve"> </w:t>
      </w:r>
      <w:r>
        <w:rPr>
          <w:rFonts w:ascii="Sylfaen" w:eastAsia="Helvetica" w:hAnsi="Sylfaen" w:cs="Menlo Bold"/>
          <w:lang w:val="ka-GE"/>
        </w:rPr>
        <w:t>მოვალეობები</w:t>
      </w:r>
      <w:r>
        <w:rPr>
          <w:rFonts w:ascii="Sylfaen" w:hAnsi="Sylfaen" w:cs="Times New Roman"/>
          <w:lang w:val="ka-GE"/>
        </w:rPr>
        <w:t xml:space="preserve">, </w:t>
      </w:r>
      <w:r>
        <w:rPr>
          <w:rFonts w:ascii="Sylfaen" w:eastAsia="Helvetica" w:hAnsi="Sylfaen" w:cs="Menlo Bold"/>
          <w:lang w:val="ka-GE"/>
        </w:rPr>
        <w:t>ასევე</w:t>
      </w:r>
      <w:r>
        <w:rPr>
          <w:rFonts w:ascii="Sylfaen" w:hAnsi="Sylfaen" w:cs="Times New Roman"/>
          <w:lang w:val="ka-GE"/>
        </w:rPr>
        <w:t xml:space="preserve"> </w:t>
      </w:r>
      <w:r>
        <w:rPr>
          <w:rFonts w:ascii="Sylfaen" w:eastAsia="Helvetica" w:hAnsi="Sylfaen" w:cs="Menlo Bold"/>
          <w:lang w:val="ka-GE"/>
        </w:rPr>
        <w:t>დასაქმებასთან</w:t>
      </w:r>
      <w:r>
        <w:rPr>
          <w:rFonts w:ascii="Sylfaen" w:hAnsi="Sylfaen" w:cs="Times New Roman"/>
          <w:lang w:val="ka-GE"/>
        </w:rPr>
        <w:t xml:space="preserve"> </w:t>
      </w:r>
      <w:r>
        <w:rPr>
          <w:rFonts w:ascii="Sylfaen" w:eastAsia="Helvetica" w:hAnsi="Sylfaen" w:cs="Menlo Bold"/>
          <w:lang w:val="ka-GE"/>
        </w:rPr>
        <w:t>დაკავშირებული</w:t>
      </w:r>
      <w:r>
        <w:rPr>
          <w:rFonts w:ascii="Sylfaen" w:hAnsi="Sylfaen" w:cs="Times New Roman"/>
          <w:lang w:val="ka-GE"/>
        </w:rPr>
        <w:t xml:space="preserve"> </w:t>
      </w:r>
      <w:r>
        <w:rPr>
          <w:rFonts w:ascii="Sylfaen" w:eastAsia="Helvetica" w:hAnsi="Sylfaen" w:cs="Menlo Bold"/>
          <w:lang w:val="ka-GE"/>
        </w:rPr>
        <w:t>სხვა</w:t>
      </w:r>
      <w:r>
        <w:rPr>
          <w:rFonts w:ascii="Sylfaen" w:hAnsi="Sylfaen" w:cs="Times New Roman"/>
          <w:lang w:val="ka-GE"/>
        </w:rPr>
        <w:t xml:space="preserve"> </w:t>
      </w:r>
      <w:r>
        <w:rPr>
          <w:rFonts w:ascii="Sylfaen" w:eastAsia="Helvetica" w:hAnsi="Sylfaen" w:cs="Menlo Bold"/>
          <w:lang w:val="ka-GE"/>
        </w:rPr>
        <w:t>შესაბამისი</w:t>
      </w:r>
      <w:r>
        <w:rPr>
          <w:rFonts w:ascii="Sylfaen" w:hAnsi="Sylfaen" w:cs="Times New Roman"/>
          <w:lang w:val="ka-GE"/>
        </w:rPr>
        <w:t xml:space="preserve"> </w:t>
      </w:r>
      <w:r>
        <w:rPr>
          <w:rFonts w:ascii="Sylfaen" w:eastAsia="Helvetica" w:hAnsi="Sylfaen" w:cs="Menlo Bold"/>
          <w:lang w:val="ka-GE"/>
        </w:rPr>
        <w:t>საკითხები</w:t>
      </w:r>
      <w:r>
        <w:rPr>
          <w:rFonts w:ascii="Sylfaen" w:eastAsia="Helvetica" w:hAnsi="Sylfaen" w:cs="Times New Roman"/>
          <w:lang w:val="ka-GE"/>
        </w:rPr>
        <w:t xml:space="preserve">. </w:t>
      </w:r>
      <w:bookmarkStart w:id="0" w:name="_GoBack"/>
      <w:bookmarkEnd w:id="0"/>
    </w:p>
    <w:p w:rsidR="00CA68C2" w:rsidRDefault="00CA68C2" w:rsidP="00CA68C2">
      <w:pPr>
        <w:jc w:val="both"/>
        <w:rPr>
          <w:rFonts w:ascii="Sylfaen" w:eastAsia="Helvetica" w:hAnsi="Sylfaen" w:cs="Times New Roman"/>
          <w:b/>
          <w:lang w:val="ka-GE"/>
        </w:rPr>
      </w:pPr>
      <w:r>
        <w:rPr>
          <w:rFonts w:ascii="Sylfaen" w:eastAsia="Helvetica"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მიიჩნევს, რომ აღნიშნული კანონის დასამუშავებლად და საბოლოო სახით მისაღებად დაახლოებით კიდევ </w:t>
      </w:r>
      <w:r>
        <w:rPr>
          <w:rFonts w:ascii="Sylfaen" w:eastAsia="Helvetica" w:hAnsi="Sylfaen" w:cs="Times New Roman"/>
          <w:b/>
          <w:lang w:val="ka-GE"/>
        </w:rPr>
        <w:t>ორი თვეა საჭირო.</w:t>
      </w:r>
      <w:r>
        <w:rPr>
          <w:rFonts w:ascii="Sylfaen" w:eastAsia="Helvetica" w:hAnsi="Sylfaen" w:cs="Times New Roman"/>
          <w:lang w:val="ka-GE"/>
        </w:rPr>
        <w:t xml:space="preserve">  სამინისტრო კანონპროექტის წარდგენას გეგმავს </w:t>
      </w:r>
      <w:r>
        <w:rPr>
          <w:rFonts w:ascii="Sylfaen" w:eastAsia="Helvetica" w:hAnsi="Sylfaen" w:cs="Times New Roman"/>
          <w:b/>
          <w:lang w:val="ka-GE"/>
        </w:rPr>
        <w:t xml:space="preserve">პარლამენტის საგაზაფხულო სესიაზე. </w:t>
      </w:r>
    </w:p>
    <w:p w:rsidR="00CA68C2" w:rsidRDefault="00CA68C2" w:rsidP="00CA68C2">
      <w:pPr>
        <w:pStyle w:val="ListParagraph"/>
        <w:numPr>
          <w:ilvl w:val="0"/>
          <w:numId w:val="15"/>
        </w:numPr>
        <w:spacing w:line="256" w:lineRule="auto"/>
        <w:jc w:val="both"/>
        <w:rPr>
          <w:rFonts w:ascii="Sylfaen" w:eastAsia="Helvetica" w:hAnsi="Sylfaen" w:cs="Times New Roman"/>
          <w:b/>
          <w:lang w:val="ka-GE"/>
        </w:rPr>
      </w:pPr>
      <w:r>
        <w:rPr>
          <w:rFonts w:ascii="Sylfaen" w:eastAsia="Helvetica" w:hAnsi="Sylfaen" w:cs="Times New Roman"/>
          <w:b/>
          <w:lang w:val="ka-GE"/>
        </w:rPr>
        <w:t>შრომის ინსპექციის სისტემის ძალაში სრულად შესვლა და შრომის კოდექსში ცვლილებების შეტანა</w:t>
      </w:r>
    </w:p>
    <w:p w:rsidR="00CA68C2" w:rsidRDefault="00CA68C2" w:rsidP="00CA68C2">
      <w:pPr>
        <w:jc w:val="both"/>
        <w:rPr>
          <w:rFonts w:ascii="Sylfaen" w:eastAsia="Helvetica" w:hAnsi="Sylfaen" w:cs="Times New Roman"/>
          <w:lang w:val="ka-GE"/>
        </w:rPr>
      </w:pPr>
      <w:r>
        <w:rPr>
          <w:rFonts w:ascii="Sylfaen" w:eastAsia="Helvetica"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საქართველოს ეკონომიკისა და მდგრადი განვითარების სამინისტროს შორის მუდმივად მიმდინარეობს მოლაპარაკებები იმ სადავო საკითხებთან დაკავშირებით, როგორიცაა კანონის ან მისი გარკვეული მუხლების/პუნქტების ძალაში შესვლის საკითხი, ისევე როგორც ინსპექციის მანდატის გაფართოება. </w:t>
      </w:r>
    </w:p>
    <w:p w:rsidR="00CA68C2" w:rsidRDefault="00CA68C2" w:rsidP="00CA68C2">
      <w:pPr>
        <w:jc w:val="both"/>
        <w:rPr>
          <w:rFonts w:ascii="AcadNusx" w:hAnsi="AcadNusx"/>
        </w:rPr>
      </w:pPr>
      <w:r>
        <w:rPr>
          <w:rFonts w:ascii="Sylfaen" w:eastAsia="Helvetica" w:hAnsi="Sylfaen" w:cs="Times New Roman"/>
          <w:lang w:val="ka-GE"/>
        </w:rPr>
        <w:t xml:space="preserve">სამინისტრო გეგმავს, რომ 2020 წლის იანვრის ბოლომდე საქართველოს მთავრობას წარუდგინოს ინსპექციის სსიპ-ად ჩამოყალიბების შესახებ შესაბამისი აქტი (საქართველოს კანონის პროექტი „შრომის ინსპექციის კანონი“) და მასთან დაკავშირებული შესაბამისი ცვლილებების პროექტები. </w:t>
      </w:r>
    </w:p>
    <w:p w:rsidR="00CA68C2" w:rsidRPr="00CA68C2" w:rsidRDefault="00CA68C2" w:rsidP="00CA68C2">
      <w:pPr>
        <w:jc w:val="both"/>
        <w:rPr>
          <w:rFonts w:ascii="Sylfaen" w:eastAsia="Sylfaen" w:hAnsi="Sylfaen" w:cs="Sylfaen"/>
        </w:rPr>
      </w:pPr>
    </w:p>
    <w:p w:rsidR="000964F1" w:rsidRDefault="000964F1" w:rsidP="004C0A08">
      <w:pPr>
        <w:autoSpaceDE w:val="0"/>
        <w:autoSpaceDN w:val="0"/>
        <w:adjustRightInd w:val="0"/>
        <w:spacing w:before="240" w:after="240"/>
        <w:jc w:val="both"/>
        <w:rPr>
          <w:rFonts w:ascii="Sylfaen" w:eastAsia="Times New Roman" w:hAnsi="Sylfaen" w:cs="Sylfaen"/>
          <w:noProof/>
          <w:lang w:val="ka-GE" w:eastAsia="x-none"/>
        </w:rPr>
      </w:pPr>
    </w:p>
    <w:sectPr w:rsidR="000964F1" w:rsidSect="006D4DA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enlo Bold">
    <w:charset w:val="00"/>
    <w:family w:val="auto"/>
    <w:pitch w:val="variable"/>
    <w:sig w:usb0="E60022FF" w:usb1="D000F1FB" w:usb2="00000028" w:usb3="00000000" w:csb0="000001DF" w:csb1="00000000"/>
  </w:font>
  <w:font w:name="Helvetica">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40957"/>
    <w:multiLevelType w:val="hybridMultilevel"/>
    <w:tmpl w:val="366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56927"/>
    <w:multiLevelType w:val="hybridMultilevel"/>
    <w:tmpl w:val="CEB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D3741"/>
    <w:multiLevelType w:val="hybridMultilevel"/>
    <w:tmpl w:val="E9F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C3894"/>
    <w:multiLevelType w:val="hybridMultilevel"/>
    <w:tmpl w:val="86A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57348"/>
    <w:multiLevelType w:val="hybridMultilevel"/>
    <w:tmpl w:val="8C9E3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6AB1908"/>
    <w:multiLevelType w:val="hybridMultilevel"/>
    <w:tmpl w:val="E77C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7E2F8E"/>
    <w:multiLevelType w:val="hybridMultilevel"/>
    <w:tmpl w:val="2A963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D4422C9"/>
    <w:multiLevelType w:val="hybridMultilevel"/>
    <w:tmpl w:val="5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710B06"/>
    <w:multiLevelType w:val="hybridMultilevel"/>
    <w:tmpl w:val="2384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12">
    <w:nsid w:val="6221645A"/>
    <w:multiLevelType w:val="hybridMultilevel"/>
    <w:tmpl w:val="15C0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5F1FC8"/>
    <w:multiLevelType w:val="hybridMultilevel"/>
    <w:tmpl w:val="FDB6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4"/>
  </w:num>
  <w:num w:numId="5">
    <w:abstractNumId w:val="1"/>
  </w:num>
  <w:num w:numId="6">
    <w:abstractNumId w:val="2"/>
  </w:num>
  <w:num w:numId="7">
    <w:abstractNumId w:val="10"/>
  </w:num>
  <w:num w:numId="8">
    <w:abstractNumId w:val="3"/>
  </w:num>
  <w:num w:numId="9">
    <w:abstractNumId w:val="0"/>
  </w:num>
  <w:num w:numId="10">
    <w:abstractNumId w:val="7"/>
  </w:num>
  <w:num w:numId="11">
    <w:abstractNumId w:val="11"/>
  </w:num>
  <w:num w:numId="12">
    <w:abstractNumId w:val="9"/>
  </w:num>
  <w:num w:numId="13">
    <w:abstractNumId w:val="14"/>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F5"/>
    <w:rsid w:val="000964F1"/>
    <w:rsid w:val="000A3B99"/>
    <w:rsid w:val="000A3BD9"/>
    <w:rsid w:val="000E03FD"/>
    <w:rsid w:val="00106A49"/>
    <w:rsid w:val="001209DB"/>
    <w:rsid w:val="001710C6"/>
    <w:rsid w:val="00197049"/>
    <w:rsid w:val="001E289F"/>
    <w:rsid w:val="001E72F5"/>
    <w:rsid w:val="001F13D0"/>
    <w:rsid w:val="002575F8"/>
    <w:rsid w:val="00281B5D"/>
    <w:rsid w:val="002A41C3"/>
    <w:rsid w:val="002B645D"/>
    <w:rsid w:val="002F6A11"/>
    <w:rsid w:val="003A0709"/>
    <w:rsid w:val="003F2755"/>
    <w:rsid w:val="00403D18"/>
    <w:rsid w:val="004C0A08"/>
    <w:rsid w:val="004F0FC8"/>
    <w:rsid w:val="004F3B73"/>
    <w:rsid w:val="00525921"/>
    <w:rsid w:val="00525CF1"/>
    <w:rsid w:val="005B503A"/>
    <w:rsid w:val="005C0FE4"/>
    <w:rsid w:val="00616AE3"/>
    <w:rsid w:val="006D4DA7"/>
    <w:rsid w:val="00717912"/>
    <w:rsid w:val="00726DFC"/>
    <w:rsid w:val="007A572E"/>
    <w:rsid w:val="007C388F"/>
    <w:rsid w:val="00803586"/>
    <w:rsid w:val="008248ED"/>
    <w:rsid w:val="008364AA"/>
    <w:rsid w:val="008521CD"/>
    <w:rsid w:val="00886784"/>
    <w:rsid w:val="00902F2C"/>
    <w:rsid w:val="00936BFE"/>
    <w:rsid w:val="009607E8"/>
    <w:rsid w:val="00961DDA"/>
    <w:rsid w:val="009730A0"/>
    <w:rsid w:val="009B2CC1"/>
    <w:rsid w:val="009E2C3B"/>
    <w:rsid w:val="009F32A0"/>
    <w:rsid w:val="009F4A93"/>
    <w:rsid w:val="00A56580"/>
    <w:rsid w:val="00A70315"/>
    <w:rsid w:val="00A755A2"/>
    <w:rsid w:val="00AD2DE8"/>
    <w:rsid w:val="00B42B15"/>
    <w:rsid w:val="00B6288E"/>
    <w:rsid w:val="00B81E4B"/>
    <w:rsid w:val="00BB6D65"/>
    <w:rsid w:val="00BB7D67"/>
    <w:rsid w:val="00C067E6"/>
    <w:rsid w:val="00C83369"/>
    <w:rsid w:val="00CA68C2"/>
    <w:rsid w:val="00CB4E20"/>
    <w:rsid w:val="00CE64B4"/>
    <w:rsid w:val="00D41CC7"/>
    <w:rsid w:val="00DE30EA"/>
    <w:rsid w:val="00E00224"/>
    <w:rsid w:val="00E416C7"/>
    <w:rsid w:val="00E63CF1"/>
    <w:rsid w:val="00EA372E"/>
    <w:rsid w:val="00F16673"/>
    <w:rsid w:val="00F401B8"/>
    <w:rsid w:val="00FE54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183301">
      <w:bodyDiv w:val="1"/>
      <w:marLeft w:val="0"/>
      <w:marRight w:val="0"/>
      <w:marTop w:val="0"/>
      <w:marBottom w:val="0"/>
      <w:divBdr>
        <w:top w:val="none" w:sz="0" w:space="0" w:color="auto"/>
        <w:left w:val="none" w:sz="0" w:space="0" w:color="auto"/>
        <w:bottom w:val="none" w:sz="0" w:space="0" w:color="auto"/>
        <w:right w:val="none" w:sz="0" w:space="0" w:color="auto"/>
      </w:divBdr>
    </w:div>
    <w:div w:id="164943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Ketevan Goginashvili</cp:lastModifiedBy>
  <cp:revision>5</cp:revision>
  <dcterms:created xsi:type="dcterms:W3CDTF">2019-12-26T12:52:00Z</dcterms:created>
  <dcterms:modified xsi:type="dcterms:W3CDTF">2019-12-26T13:26:00Z</dcterms:modified>
</cp:coreProperties>
</file>